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附件2：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政府专职消防员体能测试评分标准</w:t>
      </w:r>
    </w:p>
    <w:tbl>
      <w:tblPr>
        <w:tblStyle w:val="6"/>
        <w:tblW w:w="972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2190"/>
        <w:gridCol w:w="2295"/>
        <w:gridCol w:w="2010"/>
        <w:gridCol w:w="19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185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分数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100米跑（男）</w:t>
            </w:r>
          </w:p>
        </w:tc>
        <w:tc>
          <w:tcPr>
            <w:tcW w:w="22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000米跑（男）</w:t>
            </w:r>
          </w:p>
        </w:tc>
        <w:tc>
          <w:tcPr>
            <w:tcW w:w="2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引体向上（男）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8"/>
                <w:shd w:val="clear" w:color="auto" w:fill="FFFFFF"/>
                <w:lang w:val="en-US" w:eastAsia="zh-CN"/>
              </w:rPr>
              <w:t>仰卧起坐</w:t>
            </w: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eastAsia="zh-CN"/>
              </w:rPr>
              <w:t>（男）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（秒）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（分）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（次）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eastAsia="zh-CN"/>
              </w:rPr>
              <w:t>（次）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1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100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12′50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3′40″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95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12′70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3′45″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90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12′90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3′50″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85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13′20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3′55″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80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13′50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4′00″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75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13′90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4′05″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70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14′10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4′10″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65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14′30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4′15″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60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14′50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4′20″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55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14′70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4′25″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50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14′90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4′30″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15′00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4′35″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B5927"/>
    <w:rsid w:val="19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/>
      <w:sz w:val="32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2023-09-11T17:38:00Z</dcterms:created>
  <dc:creator>简夏</dc:creator>
  <cp:lastModifiedBy>简夏</cp:lastModifiedBy>
  <dcterms:modified xsi:type="dcterms:W3CDTF">2023-09-11T17:38:45Z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A4DB5730AE4278F605E0FE64ED6435C5_41</vt:lpwstr>
  </property>
</Properties>
</file>